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3C7" w:rsidRDefault="008733C7" w:rsidP="008733C7">
      <w:pPr>
        <w:overflowPunct w:val="0"/>
        <w:adjustRightInd w:val="0"/>
        <w:snapToGrid w:val="0"/>
        <w:spacing w:line="580" w:lineRule="exact"/>
        <w:jc w:val="center"/>
        <w:rPr>
          <w:rFonts w:ascii="方正小标宋简体" w:eastAsia="方正小标宋简体" w:hAnsiTheme="minorHAnsi" w:cstheme="minorBidi"/>
          <w:sz w:val="44"/>
          <w:szCs w:val="44"/>
        </w:rPr>
      </w:pPr>
      <w:r>
        <w:rPr>
          <w:rFonts w:ascii="方正小标宋简体" w:eastAsia="方正小标宋简体" w:hAnsiTheme="minorHAnsi" w:cstheme="minorBidi" w:hint="eastAsia"/>
          <w:sz w:val="44"/>
          <w:szCs w:val="44"/>
        </w:rPr>
        <w:t>第三方监测周期、频率、监测报告及监测异常处理要求</w:t>
      </w:r>
    </w:p>
    <w:p w:rsidR="008733C7" w:rsidRDefault="008733C7" w:rsidP="008733C7">
      <w:pPr>
        <w:overflowPunct w:val="0"/>
        <w:adjustRightInd w:val="0"/>
        <w:snapToGrid w:val="0"/>
        <w:spacing w:line="580" w:lineRule="exact"/>
        <w:ind w:firstLineChars="200" w:firstLine="640"/>
        <w:rPr>
          <w:rFonts w:ascii="黑体" w:eastAsia="黑体" w:hAnsi="黑体" w:cstheme="minorBidi" w:hint="eastAsia"/>
          <w:sz w:val="32"/>
          <w:szCs w:val="32"/>
        </w:rPr>
      </w:pPr>
    </w:p>
    <w:p w:rsidR="008733C7" w:rsidRDefault="008733C7" w:rsidP="008733C7">
      <w:pPr>
        <w:overflowPunct w:val="0"/>
        <w:adjustRightInd w:val="0"/>
        <w:snapToGrid w:val="0"/>
        <w:spacing w:line="580" w:lineRule="exact"/>
        <w:ind w:firstLineChars="200" w:firstLine="640"/>
        <w:rPr>
          <w:rFonts w:ascii="黑体" w:eastAsia="黑体" w:hAnsi="黑体" w:cstheme="minorBidi"/>
          <w:sz w:val="32"/>
          <w:szCs w:val="32"/>
        </w:rPr>
      </w:pPr>
      <w:r>
        <w:rPr>
          <w:rFonts w:ascii="黑体" w:eastAsia="黑体" w:hAnsi="黑体" w:cstheme="minorBidi" w:hint="eastAsia"/>
          <w:sz w:val="32"/>
          <w:szCs w:val="32"/>
        </w:rPr>
        <w:t>一、第三方监测周期和频率</w:t>
      </w:r>
    </w:p>
    <w:p w:rsidR="008733C7" w:rsidRDefault="008733C7" w:rsidP="008733C7">
      <w:pPr>
        <w:spacing w:line="360" w:lineRule="auto"/>
        <w:jc w:val="center"/>
        <w:rPr>
          <w:rFonts w:hint="eastAsia"/>
          <w:b/>
          <w:color w:val="000000"/>
          <w:sz w:val="22"/>
          <w:szCs w:val="22"/>
        </w:rPr>
      </w:pPr>
      <w:r w:rsidRPr="00F300D6">
        <w:rPr>
          <w:rFonts w:hint="eastAsia"/>
          <w:b/>
          <w:color w:val="000000"/>
          <w:sz w:val="22"/>
          <w:szCs w:val="22"/>
        </w:rPr>
        <w:t>桩基工程、顶管等危险性较大工程的监测频率</w:t>
      </w:r>
    </w:p>
    <w:tbl>
      <w:tblPr>
        <w:tblW w:w="5000" w:type="pct"/>
        <w:jc w:val="center"/>
        <w:tblLook w:val="04A0"/>
      </w:tblPr>
      <w:tblGrid>
        <w:gridCol w:w="1606"/>
        <w:gridCol w:w="3613"/>
        <w:gridCol w:w="3303"/>
      </w:tblGrid>
      <w:tr w:rsidR="008733C7" w:rsidTr="008733C7">
        <w:trPr>
          <w:trHeight w:val="284"/>
          <w:jc w:val="center"/>
        </w:trPr>
        <w:tc>
          <w:tcPr>
            <w:tcW w:w="942" w:type="pct"/>
            <w:tcBorders>
              <w:top w:val="single" w:sz="8" w:space="0" w:color="auto"/>
              <w:left w:val="single" w:sz="8" w:space="0" w:color="auto"/>
              <w:bottom w:val="single" w:sz="8" w:space="0" w:color="auto"/>
              <w:right w:val="single" w:sz="4" w:space="0" w:color="auto"/>
            </w:tcBorders>
            <w:vAlign w:val="center"/>
          </w:tcPr>
          <w:p w:rsidR="008733C7" w:rsidRDefault="008733C7" w:rsidP="00066577">
            <w:pPr>
              <w:widowControl/>
              <w:autoSpaceDE w:val="0"/>
              <w:autoSpaceDN w:val="0"/>
              <w:spacing w:line="240" w:lineRule="exact"/>
              <w:jc w:val="center"/>
              <w:rPr>
                <w:sz w:val="18"/>
                <w:szCs w:val="18"/>
              </w:rPr>
            </w:pPr>
            <w:r>
              <w:rPr>
                <w:rFonts w:hint="eastAsia"/>
                <w:sz w:val="18"/>
                <w:szCs w:val="18"/>
              </w:rPr>
              <w:t>外部作业类型</w:t>
            </w:r>
          </w:p>
        </w:tc>
        <w:tc>
          <w:tcPr>
            <w:tcW w:w="2120" w:type="pct"/>
            <w:tcBorders>
              <w:top w:val="single" w:sz="8" w:space="0" w:color="auto"/>
              <w:left w:val="single" w:sz="4" w:space="0" w:color="auto"/>
              <w:bottom w:val="single" w:sz="8" w:space="0" w:color="auto"/>
              <w:right w:val="single" w:sz="4" w:space="0" w:color="auto"/>
            </w:tcBorders>
            <w:noWrap/>
            <w:vAlign w:val="center"/>
          </w:tcPr>
          <w:p w:rsidR="008733C7" w:rsidRDefault="008733C7" w:rsidP="00066577">
            <w:pPr>
              <w:widowControl/>
              <w:autoSpaceDE w:val="0"/>
              <w:autoSpaceDN w:val="0"/>
              <w:spacing w:line="240" w:lineRule="exact"/>
              <w:jc w:val="center"/>
              <w:rPr>
                <w:sz w:val="18"/>
                <w:szCs w:val="18"/>
              </w:rPr>
            </w:pPr>
            <w:r>
              <w:rPr>
                <w:rFonts w:hint="eastAsia"/>
                <w:sz w:val="18"/>
                <w:szCs w:val="18"/>
              </w:rPr>
              <w:t>施工工况</w:t>
            </w:r>
          </w:p>
        </w:tc>
        <w:tc>
          <w:tcPr>
            <w:tcW w:w="1938" w:type="pct"/>
            <w:tcBorders>
              <w:top w:val="single" w:sz="8" w:space="0" w:color="auto"/>
              <w:left w:val="single" w:sz="4" w:space="0" w:color="auto"/>
              <w:bottom w:val="single" w:sz="8" w:space="0" w:color="auto"/>
              <w:right w:val="single" w:sz="8" w:space="0" w:color="auto"/>
            </w:tcBorders>
            <w:noWrap/>
            <w:vAlign w:val="center"/>
          </w:tcPr>
          <w:p w:rsidR="008733C7" w:rsidRDefault="008733C7" w:rsidP="00066577">
            <w:pPr>
              <w:widowControl/>
              <w:autoSpaceDE w:val="0"/>
              <w:autoSpaceDN w:val="0"/>
              <w:spacing w:line="240" w:lineRule="exact"/>
              <w:jc w:val="center"/>
              <w:rPr>
                <w:sz w:val="18"/>
                <w:szCs w:val="18"/>
              </w:rPr>
            </w:pPr>
            <w:r>
              <w:rPr>
                <w:rFonts w:hint="eastAsia"/>
                <w:sz w:val="18"/>
                <w:szCs w:val="18"/>
              </w:rPr>
              <w:t>监测频率</w:t>
            </w:r>
          </w:p>
        </w:tc>
      </w:tr>
      <w:tr w:rsidR="008733C7" w:rsidTr="008733C7">
        <w:trPr>
          <w:trHeight w:val="284"/>
          <w:jc w:val="center"/>
        </w:trPr>
        <w:tc>
          <w:tcPr>
            <w:tcW w:w="942" w:type="pct"/>
            <w:vMerge w:val="restart"/>
            <w:tcBorders>
              <w:top w:val="single" w:sz="8" w:space="0" w:color="auto"/>
              <w:left w:val="single" w:sz="8" w:space="0" w:color="auto"/>
              <w:right w:val="single" w:sz="4" w:space="0" w:color="auto"/>
            </w:tcBorders>
            <w:vAlign w:val="center"/>
          </w:tcPr>
          <w:p w:rsidR="008733C7" w:rsidRDefault="008733C7" w:rsidP="00066577">
            <w:pPr>
              <w:widowControl/>
              <w:autoSpaceDE w:val="0"/>
              <w:autoSpaceDN w:val="0"/>
              <w:spacing w:line="240" w:lineRule="exact"/>
              <w:jc w:val="center"/>
              <w:rPr>
                <w:sz w:val="18"/>
                <w:szCs w:val="18"/>
              </w:rPr>
            </w:pPr>
            <w:r>
              <w:rPr>
                <w:sz w:val="18"/>
                <w:szCs w:val="18"/>
              </w:rPr>
              <w:t>桩基工程、顶管等危险性较大的工程</w:t>
            </w:r>
          </w:p>
        </w:tc>
        <w:tc>
          <w:tcPr>
            <w:tcW w:w="2120" w:type="pct"/>
            <w:tcBorders>
              <w:top w:val="single" w:sz="8" w:space="0" w:color="auto"/>
              <w:left w:val="single" w:sz="4" w:space="0" w:color="auto"/>
              <w:bottom w:val="single" w:sz="4" w:space="0" w:color="auto"/>
              <w:right w:val="single" w:sz="4" w:space="0" w:color="auto"/>
            </w:tcBorders>
            <w:noWrap/>
            <w:vAlign w:val="center"/>
          </w:tcPr>
          <w:p w:rsidR="008733C7" w:rsidRDefault="008733C7" w:rsidP="00066577">
            <w:pPr>
              <w:widowControl/>
              <w:autoSpaceDE w:val="0"/>
              <w:autoSpaceDN w:val="0"/>
              <w:spacing w:line="240" w:lineRule="exact"/>
              <w:jc w:val="center"/>
              <w:rPr>
                <w:sz w:val="18"/>
                <w:szCs w:val="18"/>
              </w:rPr>
            </w:pPr>
            <w:r>
              <w:rPr>
                <w:sz w:val="18"/>
                <w:szCs w:val="18"/>
              </w:rPr>
              <w:t>施工前</w:t>
            </w:r>
          </w:p>
        </w:tc>
        <w:tc>
          <w:tcPr>
            <w:tcW w:w="1938" w:type="pct"/>
            <w:tcBorders>
              <w:top w:val="single" w:sz="8" w:space="0" w:color="auto"/>
              <w:left w:val="single" w:sz="4" w:space="0" w:color="auto"/>
              <w:bottom w:val="single" w:sz="4" w:space="0" w:color="auto"/>
              <w:right w:val="single" w:sz="8" w:space="0" w:color="auto"/>
            </w:tcBorders>
            <w:noWrap/>
            <w:vAlign w:val="center"/>
          </w:tcPr>
          <w:p w:rsidR="008733C7" w:rsidRDefault="008733C7" w:rsidP="00066577">
            <w:pPr>
              <w:widowControl/>
              <w:autoSpaceDE w:val="0"/>
              <w:autoSpaceDN w:val="0"/>
              <w:spacing w:line="240" w:lineRule="exact"/>
              <w:jc w:val="center"/>
              <w:rPr>
                <w:sz w:val="18"/>
                <w:szCs w:val="18"/>
              </w:rPr>
            </w:pPr>
            <w:r>
              <w:rPr>
                <w:sz w:val="18"/>
                <w:szCs w:val="18"/>
              </w:rPr>
              <w:t>完成初始数据采集</w:t>
            </w:r>
          </w:p>
        </w:tc>
      </w:tr>
      <w:tr w:rsidR="008733C7" w:rsidTr="008733C7">
        <w:trPr>
          <w:trHeight w:val="284"/>
          <w:jc w:val="center"/>
        </w:trPr>
        <w:tc>
          <w:tcPr>
            <w:tcW w:w="942" w:type="pct"/>
            <w:vMerge/>
            <w:tcBorders>
              <w:left w:val="single" w:sz="8" w:space="0" w:color="auto"/>
              <w:right w:val="single" w:sz="4" w:space="0" w:color="auto"/>
            </w:tcBorders>
            <w:vAlign w:val="center"/>
          </w:tcPr>
          <w:p w:rsidR="008733C7" w:rsidRDefault="008733C7" w:rsidP="00066577">
            <w:pPr>
              <w:widowControl/>
              <w:autoSpaceDE w:val="0"/>
              <w:autoSpaceDN w:val="0"/>
              <w:spacing w:line="240" w:lineRule="exact"/>
              <w:jc w:val="center"/>
              <w:rPr>
                <w:sz w:val="18"/>
                <w:szCs w:val="18"/>
              </w:rPr>
            </w:pPr>
          </w:p>
        </w:tc>
        <w:tc>
          <w:tcPr>
            <w:tcW w:w="2120" w:type="pct"/>
            <w:tcBorders>
              <w:top w:val="single" w:sz="4" w:space="0" w:color="auto"/>
              <w:left w:val="single" w:sz="4" w:space="0" w:color="auto"/>
              <w:bottom w:val="single" w:sz="4" w:space="0" w:color="auto"/>
              <w:right w:val="single" w:sz="4" w:space="0" w:color="auto"/>
            </w:tcBorders>
            <w:noWrap/>
            <w:vAlign w:val="center"/>
          </w:tcPr>
          <w:p w:rsidR="008733C7" w:rsidRDefault="008733C7" w:rsidP="00066577">
            <w:pPr>
              <w:widowControl/>
              <w:autoSpaceDE w:val="0"/>
              <w:autoSpaceDN w:val="0"/>
              <w:spacing w:line="240" w:lineRule="exact"/>
              <w:jc w:val="center"/>
              <w:rPr>
                <w:rFonts w:ascii="宋体" w:hAnsi="宋体"/>
                <w:sz w:val="18"/>
                <w:szCs w:val="18"/>
              </w:rPr>
            </w:pPr>
            <w:r>
              <w:rPr>
                <w:rFonts w:ascii="宋体" w:hAnsi="宋体"/>
                <w:sz w:val="18"/>
                <w:szCs w:val="18"/>
              </w:rPr>
              <w:t>工程桩、顶进施工期间</w:t>
            </w:r>
          </w:p>
        </w:tc>
        <w:tc>
          <w:tcPr>
            <w:tcW w:w="1938" w:type="pct"/>
            <w:tcBorders>
              <w:top w:val="single" w:sz="4" w:space="0" w:color="auto"/>
              <w:left w:val="single" w:sz="4" w:space="0" w:color="auto"/>
              <w:bottom w:val="single" w:sz="4" w:space="0" w:color="auto"/>
              <w:right w:val="single" w:sz="8" w:space="0" w:color="auto"/>
            </w:tcBorders>
            <w:noWrap/>
            <w:vAlign w:val="center"/>
          </w:tcPr>
          <w:p w:rsidR="008733C7" w:rsidRDefault="008733C7" w:rsidP="00066577">
            <w:pPr>
              <w:widowControl/>
              <w:autoSpaceDE w:val="0"/>
              <w:autoSpaceDN w:val="0"/>
              <w:spacing w:line="240" w:lineRule="exact"/>
              <w:jc w:val="center"/>
              <w:rPr>
                <w:rFonts w:ascii="宋体" w:hAnsi="宋体"/>
                <w:sz w:val="18"/>
                <w:szCs w:val="18"/>
              </w:rPr>
            </w:pPr>
            <w:r>
              <w:rPr>
                <w:rFonts w:ascii="宋体" w:hAnsi="宋体" w:hint="eastAsia"/>
                <w:sz w:val="18"/>
                <w:szCs w:val="18"/>
              </w:rPr>
              <w:t>（</w:t>
            </w:r>
            <w:r>
              <w:rPr>
                <w:rFonts w:ascii="宋体" w:hAnsi="宋体"/>
                <w:sz w:val="18"/>
                <w:szCs w:val="18"/>
              </w:rPr>
              <w:t>1次</w:t>
            </w:r>
            <w:r>
              <w:rPr>
                <w:rFonts w:ascii="宋体" w:hAnsi="宋体" w:hint="eastAsia"/>
                <w:sz w:val="18"/>
                <w:szCs w:val="18"/>
              </w:rPr>
              <w:t>～</w:t>
            </w:r>
            <w:r>
              <w:rPr>
                <w:rFonts w:ascii="宋体" w:hAnsi="宋体"/>
                <w:sz w:val="18"/>
                <w:szCs w:val="18"/>
              </w:rPr>
              <w:t>3次</w:t>
            </w:r>
            <w:r>
              <w:rPr>
                <w:rFonts w:ascii="宋体" w:hAnsi="宋体" w:hint="eastAsia"/>
                <w:sz w:val="18"/>
                <w:szCs w:val="18"/>
              </w:rPr>
              <w:t>）</w:t>
            </w:r>
            <w:r>
              <w:rPr>
                <w:rFonts w:ascii="宋体" w:hAnsi="宋体"/>
                <w:sz w:val="18"/>
                <w:szCs w:val="18"/>
              </w:rPr>
              <w:t>/天</w:t>
            </w:r>
          </w:p>
        </w:tc>
      </w:tr>
      <w:tr w:rsidR="008733C7" w:rsidTr="008733C7">
        <w:trPr>
          <w:trHeight w:val="284"/>
          <w:jc w:val="center"/>
        </w:trPr>
        <w:tc>
          <w:tcPr>
            <w:tcW w:w="942" w:type="pct"/>
            <w:vMerge/>
            <w:tcBorders>
              <w:left w:val="single" w:sz="8" w:space="0" w:color="auto"/>
              <w:bottom w:val="single" w:sz="8" w:space="0" w:color="auto"/>
              <w:right w:val="single" w:sz="4" w:space="0" w:color="auto"/>
            </w:tcBorders>
            <w:vAlign w:val="center"/>
          </w:tcPr>
          <w:p w:rsidR="008733C7" w:rsidRDefault="008733C7" w:rsidP="00066577">
            <w:pPr>
              <w:widowControl/>
              <w:autoSpaceDE w:val="0"/>
              <w:autoSpaceDN w:val="0"/>
              <w:spacing w:line="240" w:lineRule="exact"/>
              <w:jc w:val="center"/>
              <w:rPr>
                <w:sz w:val="18"/>
                <w:szCs w:val="18"/>
              </w:rPr>
            </w:pPr>
          </w:p>
        </w:tc>
        <w:tc>
          <w:tcPr>
            <w:tcW w:w="2120" w:type="pct"/>
            <w:tcBorders>
              <w:top w:val="single" w:sz="4" w:space="0" w:color="auto"/>
              <w:left w:val="single" w:sz="4" w:space="0" w:color="auto"/>
              <w:bottom w:val="single" w:sz="8" w:space="0" w:color="auto"/>
              <w:right w:val="single" w:sz="4" w:space="0" w:color="auto"/>
            </w:tcBorders>
            <w:noWrap/>
            <w:vAlign w:val="center"/>
          </w:tcPr>
          <w:p w:rsidR="008733C7" w:rsidRDefault="008733C7" w:rsidP="00066577">
            <w:pPr>
              <w:widowControl/>
              <w:autoSpaceDE w:val="0"/>
              <w:autoSpaceDN w:val="0"/>
              <w:spacing w:line="240" w:lineRule="exact"/>
              <w:jc w:val="center"/>
              <w:rPr>
                <w:rFonts w:ascii="宋体" w:hAnsi="宋体"/>
                <w:sz w:val="18"/>
                <w:szCs w:val="18"/>
              </w:rPr>
            </w:pPr>
            <w:r>
              <w:rPr>
                <w:rFonts w:ascii="宋体" w:hAnsi="宋体"/>
                <w:sz w:val="18"/>
                <w:szCs w:val="18"/>
              </w:rPr>
              <w:t>滞后观测期（3个月）</w:t>
            </w:r>
          </w:p>
        </w:tc>
        <w:tc>
          <w:tcPr>
            <w:tcW w:w="1938" w:type="pct"/>
            <w:tcBorders>
              <w:top w:val="single" w:sz="4" w:space="0" w:color="auto"/>
              <w:left w:val="single" w:sz="4" w:space="0" w:color="auto"/>
              <w:bottom w:val="single" w:sz="8" w:space="0" w:color="auto"/>
              <w:right w:val="single" w:sz="8" w:space="0" w:color="auto"/>
            </w:tcBorders>
            <w:noWrap/>
            <w:vAlign w:val="center"/>
          </w:tcPr>
          <w:p w:rsidR="008733C7" w:rsidRDefault="008733C7" w:rsidP="00066577">
            <w:pPr>
              <w:widowControl/>
              <w:autoSpaceDE w:val="0"/>
              <w:autoSpaceDN w:val="0"/>
              <w:spacing w:line="240" w:lineRule="exact"/>
              <w:jc w:val="center"/>
              <w:rPr>
                <w:rFonts w:ascii="宋体" w:hAnsi="宋体"/>
                <w:sz w:val="18"/>
                <w:szCs w:val="18"/>
              </w:rPr>
            </w:pPr>
            <w:r>
              <w:rPr>
                <w:rFonts w:ascii="宋体" w:hAnsi="宋体"/>
                <w:sz w:val="18"/>
                <w:szCs w:val="18"/>
              </w:rPr>
              <w:t>1次/15天</w:t>
            </w:r>
          </w:p>
        </w:tc>
      </w:tr>
    </w:tbl>
    <w:p w:rsidR="008733C7" w:rsidRPr="00F300D6" w:rsidRDefault="008733C7" w:rsidP="008733C7">
      <w:pPr>
        <w:spacing w:line="360" w:lineRule="auto"/>
        <w:jc w:val="center"/>
        <w:rPr>
          <w:b/>
          <w:color w:val="000000"/>
          <w:sz w:val="22"/>
          <w:szCs w:val="22"/>
        </w:rPr>
      </w:pPr>
      <w:r w:rsidRPr="00F300D6">
        <w:rPr>
          <w:rFonts w:hint="eastAsia"/>
          <w:b/>
          <w:color w:val="000000"/>
          <w:sz w:val="22"/>
          <w:szCs w:val="22"/>
        </w:rPr>
        <w:t>基坑工程的监测频率</w:t>
      </w:r>
    </w:p>
    <w:tbl>
      <w:tblPr>
        <w:tblW w:w="5000" w:type="pct"/>
        <w:jc w:val="center"/>
        <w:tblLook w:val="04A0"/>
      </w:tblPr>
      <w:tblGrid>
        <w:gridCol w:w="1207"/>
        <w:gridCol w:w="4806"/>
        <w:gridCol w:w="2509"/>
      </w:tblGrid>
      <w:tr w:rsidR="008733C7" w:rsidTr="008733C7">
        <w:trPr>
          <w:trHeight w:val="284"/>
          <w:jc w:val="center"/>
        </w:trPr>
        <w:tc>
          <w:tcPr>
            <w:tcW w:w="708" w:type="pct"/>
            <w:tcBorders>
              <w:top w:val="single" w:sz="8" w:space="0" w:color="auto"/>
              <w:left w:val="single" w:sz="8" w:space="0" w:color="auto"/>
              <w:bottom w:val="single" w:sz="8" w:space="0" w:color="auto"/>
              <w:right w:val="single" w:sz="4" w:space="0" w:color="auto"/>
            </w:tcBorders>
            <w:vAlign w:val="center"/>
          </w:tcPr>
          <w:p w:rsidR="008733C7" w:rsidRDefault="008733C7" w:rsidP="00066577">
            <w:pPr>
              <w:widowControl/>
              <w:autoSpaceDE w:val="0"/>
              <w:autoSpaceDN w:val="0"/>
              <w:spacing w:line="240" w:lineRule="exact"/>
              <w:jc w:val="center"/>
              <w:rPr>
                <w:sz w:val="18"/>
                <w:szCs w:val="18"/>
              </w:rPr>
            </w:pPr>
            <w:r>
              <w:rPr>
                <w:rFonts w:hint="eastAsia"/>
                <w:sz w:val="18"/>
                <w:szCs w:val="18"/>
              </w:rPr>
              <w:t>外部作业类型</w:t>
            </w:r>
          </w:p>
        </w:tc>
        <w:tc>
          <w:tcPr>
            <w:tcW w:w="2820" w:type="pct"/>
            <w:tcBorders>
              <w:top w:val="single" w:sz="8" w:space="0" w:color="auto"/>
              <w:left w:val="single" w:sz="4" w:space="0" w:color="auto"/>
              <w:bottom w:val="single" w:sz="8" w:space="0" w:color="auto"/>
              <w:right w:val="single" w:sz="4" w:space="0" w:color="auto"/>
            </w:tcBorders>
            <w:noWrap/>
            <w:vAlign w:val="center"/>
          </w:tcPr>
          <w:p w:rsidR="008733C7" w:rsidRDefault="008733C7" w:rsidP="00066577">
            <w:pPr>
              <w:widowControl/>
              <w:autoSpaceDE w:val="0"/>
              <w:autoSpaceDN w:val="0"/>
              <w:spacing w:line="240" w:lineRule="exact"/>
              <w:jc w:val="center"/>
              <w:rPr>
                <w:sz w:val="18"/>
                <w:szCs w:val="18"/>
              </w:rPr>
            </w:pPr>
            <w:r>
              <w:rPr>
                <w:rFonts w:hint="eastAsia"/>
                <w:sz w:val="18"/>
                <w:szCs w:val="18"/>
              </w:rPr>
              <w:t>施工工况</w:t>
            </w:r>
          </w:p>
        </w:tc>
        <w:tc>
          <w:tcPr>
            <w:tcW w:w="1473" w:type="pct"/>
            <w:tcBorders>
              <w:top w:val="single" w:sz="8" w:space="0" w:color="auto"/>
              <w:left w:val="single" w:sz="4" w:space="0" w:color="auto"/>
              <w:bottom w:val="single" w:sz="8" w:space="0" w:color="auto"/>
              <w:right w:val="single" w:sz="8" w:space="0" w:color="auto"/>
            </w:tcBorders>
            <w:noWrap/>
            <w:vAlign w:val="center"/>
          </w:tcPr>
          <w:p w:rsidR="008733C7" w:rsidRDefault="008733C7" w:rsidP="00066577">
            <w:pPr>
              <w:widowControl/>
              <w:autoSpaceDE w:val="0"/>
              <w:autoSpaceDN w:val="0"/>
              <w:spacing w:line="240" w:lineRule="exact"/>
              <w:jc w:val="center"/>
              <w:rPr>
                <w:sz w:val="18"/>
                <w:szCs w:val="18"/>
              </w:rPr>
            </w:pPr>
            <w:r>
              <w:rPr>
                <w:rFonts w:hint="eastAsia"/>
                <w:sz w:val="18"/>
                <w:szCs w:val="18"/>
              </w:rPr>
              <w:t>监测频率</w:t>
            </w:r>
          </w:p>
        </w:tc>
      </w:tr>
      <w:tr w:rsidR="008733C7" w:rsidTr="008733C7">
        <w:trPr>
          <w:trHeight w:val="284"/>
          <w:jc w:val="center"/>
        </w:trPr>
        <w:tc>
          <w:tcPr>
            <w:tcW w:w="708" w:type="pct"/>
            <w:vMerge w:val="restart"/>
            <w:tcBorders>
              <w:top w:val="single" w:sz="8" w:space="0" w:color="auto"/>
              <w:left w:val="single" w:sz="8" w:space="0" w:color="auto"/>
              <w:right w:val="single" w:sz="4" w:space="0" w:color="auto"/>
            </w:tcBorders>
            <w:vAlign w:val="center"/>
          </w:tcPr>
          <w:p w:rsidR="008733C7" w:rsidRDefault="008733C7" w:rsidP="00066577">
            <w:pPr>
              <w:widowControl/>
              <w:autoSpaceDE w:val="0"/>
              <w:autoSpaceDN w:val="0"/>
              <w:spacing w:line="240" w:lineRule="exact"/>
              <w:jc w:val="center"/>
              <w:rPr>
                <w:sz w:val="18"/>
                <w:szCs w:val="18"/>
              </w:rPr>
            </w:pPr>
            <w:r>
              <w:rPr>
                <w:rFonts w:hint="eastAsia"/>
                <w:sz w:val="18"/>
                <w:szCs w:val="18"/>
              </w:rPr>
              <w:t>基坑工程</w:t>
            </w:r>
          </w:p>
        </w:tc>
        <w:tc>
          <w:tcPr>
            <w:tcW w:w="2820" w:type="pct"/>
            <w:tcBorders>
              <w:top w:val="single" w:sz="8" w:space="0" w:color="auto"/>
              <w:left w:val="single" w:sz="4" w:space="0" w:color="auto"/>
              <w:bottom w:val="single" w:sz="4" w:space="0" w:color="auto"/>
              <w:right w:val="single" w:sz="4" w:space="0" w:color="auto"/>
            </w:tcBorders>
            <w:noWrap/>
            <w:vAlign w:val="center"/>
          </w:tcPr>
          <w:p w:rsidR="008733C7" w:rsidRDefault="008733C7" w:rsidP="00066577">
            <w:pPr>
              <w:widowControl/>
              <w:autoSpaceDE w:val="0"/>
              <w:autoSpaceDN w:val="0"/>
              <w:spacing w:line="240" w:lineRule="exact"/>
              <w:jc w:val="center"/>
              <w:rPr>
                <w:rFonts w:ascii="宋体" w:hAnsi="宋体"/>
                <w:sz w:val="18"/>
                <w:szCs w:val="18"/>
              </w:rPr>
            </w:pPr>
            <w:r>
              <w:rPr>
                <w:rFonts w:ascii="宋体" w:hAnsi="宋体"/>
                <w:sz w:val="18"/>
                <w:szCs w:val="18"/>
              </w:rPr>
              <w:t>施工前</w:t>
            </w:r>
          </w:p>
        </w:tc>
        <w:tc>
          <w:tcPr>
            <w:tcW w:w="1473" w:type="pct"/>
            <w:tcBorders>
              <w:top w:val="single" w:sz="8" w:space="0" w:color="auto"/>
              <w:left w:val="single" w:sz="4" w:space="0" w:color="auto"/>
              <w:bottom w:val="single" w:sz="4" w:space="0" w:color="auto"/>
              <w:right w:val="single" w:sz="8" w:space="0" w:color="auto"/>
            </w:tcBorders>
            <w:noWrap/>
            <w:vAlign w:val="center"/>
          </w:tcPr>
          <w:p w:rsidR="008733C7" w:rsidRDefault="008733C7" w:rsidP="00066577">
            <w:pPr>
              <w:widowControl/>
              <w:autoSpaceDE w:val="0"/>
              <w:autoSpaceDN w:val="0"/>
              <w:spacing w:line="240" w:lineRule="exact"/>
              <w:jc w:val="center"/>
              <w:rPr>
                <w:rFonts w:ascii="宋体" w:hAnsi="宋体"/>
                <w:sz w:val="18"/>
                <w:szCs w:val="18"/>
              </w:rPr>
            </w:pPr>
            <w:r>
              <w:rPr>
                <w:rFonts w:ascii="宋体" w:hAnsi="宋体"/>
                <w:sz w:val="18"/>
                <w:szCs w:val="18"/>
              </w:rPr>
              <w:t>完成初始数据采集</w:t>
            </w:r>
          </w:p>
        </w:tc>
      </w:tr>
      <w:tr w:rsidR="008733C7" w:rsidTr="008733C7">
        <w:trPr>
          <w:trHeight w:val="284"/>
          <w:jc w:val="center"/>
        </w:trPr>
        <w:tc>
          <w:tcPr>
            <w:tcW w:w="708" w:type="pct"/>
            <w:vMerge/>
            <w:tcBorders>
              <w:left w:val="single" w:sz="8" w:space="0" w:color="auto"/>
              <w:right w:val="single" w:sz="4" w:space="0" w:color="auto"/>
            </w:tcBorders>
            <w:vAlign w:val="center"/>
          </w:tcPr>
          <w:p w:rsidR="008733C7" w:rsidRDefault="008733C7" w:rsidP="00066577">
            <w:pPr>
              <w:widowControl/>
              <w:autoSpaceDE w:val="0"/>
              <w:autoSpaceDN w:val="0"/>
              <w:spacing w:line="240" w:lineRule="exact"/>
              <w:jc w:val="center"/>
              <w:rPr>
                <w:sz w:val="18"/>
                <w:szCs w:val="18"/>
              </w:rPr>
            </w:pPr>
          </w:p>
        </w:tc>
        <w:tc>
          <w:tcPr>
            <w:tcW w:w="2820" w:type="pct"/>
            <w:tcBorders>
              <w:top w:val="single" w:sz="4" w:space="0" w:color="auto"/>
              <w:left w:val="single" w:sz="4" w:space="0" w:color="auto"/>
              <w:bottom w:val="single" w:sz="4" w:space="0" w:color="auto"/>
              <w:right w:val="single" w:sz="4" w:space="0" w:color="auto"/>
            </w:tcBorders>
            <w:noWrap/>
            <w:vAlign w:val="center"/>
          </w:tcPr>
          <w:p w:rsidR="008733C7" w:rsidRDefault="008733C7" w:rsidP="00066577">
            <w:pPr>
              <w:widowControl/>
              <w:autoSpaceDE w:val="0"/>
              <w:autoSpaceDN w:val="0"/>
              <w:spacing w:line="240" w:lineRule="exact"/>
              <w:jc w:val="center"/>
              <w:rPr>
                <w:rFonts w:ascii="宋体" w:hAnsi="宋体"/>
                <w:sz w:val="18"/>
                <w:szCs w:val="18"/>
              </w:rPr>
            </w:pPr>
            <w:r>
              <w:rPr>
                <w:rFonts w:ascii="宋体" w:hAnsi="宋体"/>
                <w:sz w:val="18"/>
                <w:szCs w:val="18"/>
              </w:rPr>
              <w:t>基坑开挖前</w:t>
            </w:r>
          </w:p>
        </w:tc>
        <w:tc>
          <w:tcPr>
            <w:tcW w:w="1473" w:type="pct"/>
            <w:tcBorders>
              <w:top w:val="single" w:sz="4" w:space="0" w:color="auto"/>
              <w:left w:val="single" w:sz="4" w:space="0" w:color="auto"/>
              <w:bottom w:val="single" w:sz="4" w:space="0" w:color="auto"/>
              <w:right w:val="single" w:sz="8" w:space="0" w:color="auto"/>
            </w:tcBorders>
            <w:noWrap/>
            <w:vAlign w:val="center"/>
          </w:tcPr>
          <w:p w:rsidR="008733C7" w:rsidRDefault="008733C7" w:rsidP="00066577">
            <w:pPr>
              <w:widowControl/>
              <w:autoSpaceDE w:val="0"/>
              <w:autoSpaceDN w:val="0"/>
              <w:spacing w:line="240" w:lineRule="exact"/>
              <w:jc w:val="center"/>
              <w:rPr>
                <w:rFonts w:ascii="宋体" w:hAnsi="宋体"/>
                <w:sz w:val="18"/>
                <w:szCs w:val="18"/>
              </w:rPr>
            </w:pPr>
            <w:r>
              <w:rPr>
                <w:rFonts w:ascii="宋体" w:hAnsi="宋体"/>
                <w:sz w:val="18"/>
                <w:szCs w:val="18"/>
              </w:rPr>
              <w:t>1次/天</w:t>
            </w:r>
          </w:p>
        </w:tc>
      </w:tr>
      <w:tr w:rsidR="008733C7" w:rsidTr="008733C7">
        <w:trPr>
          <w:trHeight w:val="284"/>
          <w:jc w:val="center"/>
        </w:trPr>
        <w:tc>
          <w:tcPr>
            <w:tcW w:w="708" w:type="pct"/>
            <w:vMerge/>
            <w:tcBorders>
              <w:left w:val="single" w:sz="8" w:space="0" w:color="auto"/>
              <w:right w:val="single" w:sz="4" w:space="0" w:color="auto"/>
            </w:tcBorders>
            <w:vAlign w:val="center"/>
          </w:tcPr>
          <w:p w:rsidR="008733C7" w:rsidRDefault="008733C7" w:rsidP="00066577">
            <w:pPr>
              <w:widowControl/>
              <w:autoSpaceDE w:val="0"/>
              <w:autoSpaceDN w:val="0"/>
              <w:spacing w:line="240" w:lineRule="exact"/>
              <w:jc w:val="center"/>
              <w:rPr>
                <w:sz w:val="18"/>
                <w:szCs w:val="18"/>
              </w:rPr>
            </w:pPr>
          </w:p>
        </w:tc>
        <w:tc>
          <w:tcPr>
            <w:tcW w:w="2820" w:type="pct"/>
            <w:tcBorders>
              <w:top w:val="single" w:sz="4" w:space="0" w:color="auto"/>
              <w:left w:val="single" w:sz="4" w:space="0" w:color="auto"/>
              <w:bottom w:val="single" w:sz="4" w:space="0" w:color="auto"/>
              <w:right w:val="single" w:sz="4" w:space="0" w:color="auto"/>
            </w:tcBorders>
            <w:noWrap/>
            <w:vAlign w:val="center"/>
          </w:tcPr>
          <w:p w:rsidR="008733C7" w:rsidRDefault="008733C7" w:rsidP="00066577">
            <w:pPr>
              <w:widowControl/>
              <w:autoSpaceDE w:val="0"/>
              <w:autoSpaceDN w:val="0"/>
              <w:spacing w:line="240" w:lineRule="exact"/>
              <w:jc w:val="center"/>
              <w:rPr>
                <w:rFonts w:ascii="宋体" w:hAnsi="宋体"/>
                <w:sz w:val="18"/>
                <w:szCs w:val="18"/>
              </w:rPr>
            </w:pPr>
            <w:r>
              <w:rPr>
                <w:rFonts w:ascii="宋体" w:hAnsi="宋体"/>
                <w:sz w:val="18"/>
                <w:szCs w:val="18"/>
              </w:rPr>
              <w:t>靠近有轨电车侧围护结构施工</w:t>
            </w:r>
          </w:p>
        </w:tc>
        <w:tc>
          <w:tcPr>
            <w:tcW w:w="1473" w:type="pct"/>
            <w:tcBorders>
              <w:top w:val="single" w:sz="4" w:space="0" w:color="auto"/>
              <w:left w:val="single" w:sz="4" w:space="0" w:color="auto"/>
              <w:bottom w:val="single" w:sz="4" w:space="0" w:color="auto"/>
              <w:right w:val="single" w:sz="8" w:space="0" w:color="auto"/>
            </w:tcBorders>
            <w:noWrap/>
            <w:vAlign w:val="center"/>
          </w:tcPr>
          <w:p w:rsidR="008733C7" w:rsidRDefault="008733C7" w:rsidP="00066577">
            <w:pPr>
              <w:widowControl/>
              <w:autoSpaceDE w:val="0"/>
              <w:autoSpaceDN w:val="0"/>
              <w:spacing w:line="240" w:lineRule="exact"/>
              <w:jc w:val="center"/>
              <w:rPr>
                <w:rFonts w:ascii="宋体" w:hAnsi="宋体"/>
                <w:sz w:val="18"/>
                <w:szCs w:val="18"/>
              </w:rPr>
            </w:pPr>
            <w:r>
              <w:rPr>
                <w:rFonts w:ascii="宋体" w:hAnsi="宋体"/>
                <w:sz w:val="18"/>
                <w:szCs w:val="18"/>
              </w:rPr>
              <w:t>3次/天</w:t>
            </w:r>
          </w:p>
        </w:tc>
      </w:tr>
      <w:tr w:rsidR="008733C7" w:rsidTr="008733C7">
        <w:trPr>
          <w:trHeight w:val="284"/>
          <w:jc w:val="center"/>
        </w:trPr>
        <w:tc>
          <w:tcPr>
            <w:tcW w:w="708" w:type="pct"/>
            <w:vMerge/>
            <w:tcBorders>
              <w:left w:val="single" w:sz="8" w:space="0" w:color="auto"/>
              <w:right w:val="single" w:sz="4" w:space="0" w:color="auto"/>
            </w:tcBorders>
            <w:vAlign w:val="center"/>
          </w:tcPr>
          <w:p w:rsidR="008733C7" w:rsidRDefault="008733C7" w:rsidP="00066577">
            <w:pPr>
              <w:widowControl/>
              <w:autoSpaceDE w:val="0"/>
              <w:autoSpaceDN w:val="0"/>
              <w:spacing w:line="240" w:lineRule="exact"/>
              <w:jc w:val="center"/>
              <w:rPr>
                <w:sz w:val="18"/>
                <w:szCs w:val="18"/>
              </w:rPr>
            </w:pPr>
          </w:p>
        </w:tc>
        <w:tc>
          <w:tcPr>
            <w:tcW w:w="2820" w:type="pct"/>
            <w:tcBorders>
              <w:top w:val="single" w:sz="4" w:space="0" w:color="auto"/>
              <w:left w:val="single" w:sz="4" w:space="0" w:color="auto"/>
              <w:bottom w:val="single" w:sz="4" w:space="0" w:color="auto"/>
              <w:right w:val="single" w:sz="4" w:space="0" w:color="auto"/>
            </w:tcBorders>
            <w:noWrap/>
            <w:vAlign w:val="center"/>
          </w:tcPr>
          <w:p w:rsidR="008733C7" w:rsidRDefault="008733C7" w:rsidP="00066577">
            <w:pPr>
              <w:widowControl/>
              <w:autoSpaceDE w:val="0"/>
              <w:autoSpaceDN w:val="0"/>
              <w:spacing w:line="240" w:lineRule="exact"/>
              <w:jc w:val="center"/>
              <w:rPr>
                <w:rFonts w:ascii="宋体" w:hAnsi="宋体"/>
                <w:sz w:val="18"/>
                <w:szCs w:val="18"/>
              </w:rPr>
            </w:pPr>
            <w:r>
              <w:rPr>
                <w:rFonts w:ascii="宋体" w:hAnsi="宋体"/>
                <w:sz w:val="18"/>
                <w:szCs w:val="18"/>
              </w:rPr>
              <w:t>开挖</w:t>
            </w:r>
            <w:r>
              <w:rPr>
                <w:rFonts w:ascii="宋体" w:hAnsi="宋体" w:hint="eastAsia"/>
                <w:sz w:val="18"/>
                <w:szCs w:val="18"/>
              </w:rPr>
              <w:t>～</w:t>
            </w:r>
            <w:r>
              <w:rPr>
                <w:rFonts w:ascii="宋体" w:hAnsi="宋体"/>
                <w:sz w:val="18"/>
                <w:szCs w:val="18"/>
              </w:rPr>
              <w:t>底板浇筑后7</w:t>
            </w:r>
            <w:r>
              <w:rPr>
                <w:rFonts w:ascii="MS Gothic" w:eastAsia="MS Gothic" w:hAnsi="MS Gothic" w:cs="MS Gothic" w:hint="eastAsia"/>
                <w:spacing w:val="-2"/>
                <w:sz w:val="18"/>
                <w:szCs w:val="18"/>
                <w:lang w:eastAsia="en-US"/>
              </w:rPr>
              <w:t> </w:t>
            </w:r>
            <w:r>
              <w:rPr>
                <w:rFonts w:ascii="宋体" w:hAnsi="宋体"/>
                <w:sz w:val="18"/>
                <w:szCs w:val="18"/>
              </w:rPr>
              <w:t>d</w:t>
            </w:r>
          </w:p>
        </w:tc>
        <w:tc>
          <w:tcPr>
            <w:tcW w:w="1473" w:type="pct"/>
            <w:tcBorders>
              <w:top w:val="single" w:sz="4" w:space="0" w:color="auto"/>
              <w:left w:val="single" w:sz="4" w:space="0" w:color="auto"/>
              <w:bottom w:val="single" w:sz="4" w:space="0" w:color="auto"/>
              <w:right w:val="single" w:sz="8" w:space="0" w:color="auto"/>
            </w:tcBorders>
            <w:noWrap/>
            <w:vAlign w:val="center"/>
          </w:tcPr>
          <w:p w:rsidR="008733C7" w:rsidRDefault="008733C7" w:rsidP="00066577">
            <w:pPr>
              <w:widowControl/>
              <w:autoSpaceDE w:val="0"/>
              <w:autoSpaceDN w:val="0"/>
              <w:spacing w:line="240" w:lineRule="exact"/>
              <w:jc w:val="center"/>
              <w:rPr>
                <w:rFonts w:ascii="宋体" w:hAnsi="宋体"/>
                <w:sz w:val="18"/>
                <w:szCs w:val="18"/>
              </w:rPr>
            </w:pPr>
            <w:r>
              <w:rPr>
                <w:rFonts w:ascii="宋体" w:hAnsi="宋体"/>
                <w:sz w:val="18"/>
                <w:szCs w:val="18"/>
              </w:rPr>
              <w:t>3次/天</w:t>
            </w:r>
          </w:p>
        </w:tc>
      </w:tr>
      <w:tr w:rsidR="008733C7" w:rsidTr="008733C7">
        <w:trPr>
          <w:trHeight w:val="284"/>
          <w:jc w:val="center"/>
        </w:trPr>
        <w:tc>
          <w:tcPr>
            <w:tcW w:w="708" w:type="pct"/>
            <w:vMerge/>
            <w:tcBorders>
              <w:left w:val="single" w:sz="8" w:space="0" w:color="auto"/>
              <w:right w:val="single" w:sz="4" w:space="0" w:color="auto"/>
            </w:tcBorders>
            <w:vAlign w:val="center"/>
          </w:tcPr>
          <w:p w:rsidR="008733C7" w:rsidRDefault="008733C7" w:rsidP="00066577">
            <w:pPr>
              <w:widowControl/>
              <w:autoSpaceDE w:val="0"/>
              <w:autoSpaceDN w:val="0"/>
              <w:spacing w:line="240" w:lineRule="exact"/>
              <w:jc w:val="center"/>
              <w:rPr>
                <w:sz w:val="18"/>
                <w:szCs w:val="18"/>
              </w:rPr>
            </w:pPr>
          </w:p>
        </w:tc>
        <w:tc>
          <w:tcPr>
            <w:tcW w:w="2820" w:type="pct"/>
            <w:tcBorders>
              <w:top w:val="single" w:sz="4" w:space="0" w:color="auto"/>
              <w:left w:val="single" w:sz="4" w:space="0" w:color="auto"/>
              <w:bottom w:val="single" w:sz="4" w:space="0" w:color="auto"/>
              <w:right w:val="single" w:sz="4" w:space="0" w:color="auto"/>
            </w:tcBorders>
            <w:noWrap/>
            <w:vAlign w:val="center"/>
          </w:tcPr>
          <w:p w:rsidR="008733C7" w:rsidRDefault="008733C7" w:rsidP="00066577">
            <w:pPr>
              <w:widowControl/>
              <w:autoSpaceDE w:val="0"/>
              <w:autoSpaceDN w:val="0"/>
              <w:spacing w:line="240" w:lineRule="exact"/>
              <w:jc w:val="center"/>
              <w:rPr>
                <w:rFonts w:ascii="宋体" w:hAnsi="宋体"/>
                <w:sz w:val="18"/>
                <w:szCs w:val="18"/>
              </w:rPr>
            </w:pPr>
            <w:r>
              <w:rPr>
                <w:rFonts w:ascii="宋体" w:hAnsi="宋体"/>
                <w:sz w:val="18"/>
                <w:szCs w:val="18"/>
              </w:rPr>
              <w:t>底板浇筑后</w:t>
            </w:r>
            <w:r>
              <w:rPr>
                <w:rFonts w:ascii="宋体" w:hAnsi="宋体" w:hint="eastAsia"/>
                <w:sz w:val="18"/>
                <w:szCs w:val="18"/>
              </w:rPr>
              <w:t>（</w:t>
            </w:r>
            <w:r>
              <w:rPr>
                <w:rFonts w:ascii="宋体" w:hAnsi="宋体"/>
                <w:sz w:val="18"/>
                <w:szCs w:val="18"/>
              </w:rPr>
              <w:t>7</w:t>
            </w:r>
            <w:r>
              <w:rPr>
                <w:rFonts w:ascii="MS Gothic" w:eastAsia="MS Gothic" w:hAnsi="MS Gothic" w:cs="MS Gothic" w:hint="eastAsia"/>
                <w:spacing w:val="-2"/>
                <w:sz w:val="18"/>
                <w:szCs w:val="18"/>
              </w:rPr>
              <w:t> </w:t>
            </w:r>
            <w:r>
              <w:rPr>
                <w:rFonts w:ascii="宋体" w:hAnsi="宋体"/>
                <w:sz w:val="18"/>
                <w:szCs w:val="18"/>
              </w:rPr>
              <w:t>d</w:t>
            </w:r>
            <w:r>
              <w:rPr>
                <w:rFonts w:ascii="宋体" w:hAnsi="宋体" w:hint="eastAsia"/>
                <w:sz w:val="18"/>
                <w:szCs w:val="18"/>
              </w:rPr>
              <w:t>～建筑结构±</w:t>
            </w:r>
            <w:r>
              <w:rPr>
                <w:rFonts w:ascii="宋体" w:hAnsi="宋体"/>
                <w:sz w:val="18"/>
                <w:szCs w:val="18"/>
              </w:rPr>
              <w:t>0</w:t>
            </w:r>
            <w:r>
              <w:rPr>
                <w:rFonts w:ascii="宋体" w:hAnsi="宋体" w:hint="eastAsia"/>
                <w:sz w:val="18"/>
                <w:szCs w:val="18"/>
              </w:rPr>
              <w:t>高度）</w:t>
            </w:r>
          </w:p>
        </w:tc>
        <w:tc>
          <w:tcPr>
            <w:tcW w:w="1473" w:type="pct"/>
            <w:tcBorders>
              <w:top w:val="single" w:sz="4" w:space="0" w:color="auto"/>
              <w:left w:val="single" w:sz="4" w:space="0" w:color="auto"/>
              <w:bottom w:val="single" w:sz="4" w:space="0" w:color="auto"/>
              <w:right w:val="single" w:sz="8" w:space="0" w:color="auto"/>
            </w:tcBorders>
            <w:noWrap/>
            <w:vAlign w:val="center"/>
          </w:tcPr>
          <w:p w:rsidR="008733C7" w:rsidRDefault="008733C7" w:rsidP="00066577">
            <w:pPr>
              <w:widowControl/>
              <w:autoSpaceDE w:val="0"/>
              <w:autoSpaceDN w:val="0"/>
              <w:spacing w:line="240" w:lineRule="exact"/>
              <w:jc w:val="center"/>
              <w:rPr>
                <w:rFonts w:ascii="宋体" w:hAnsi="宋体"/>
                <w:sz w:val="18"/>
                <w:szCs w:val="18"/>
              </w:rPr>
            </w:pPr>
            <w:r>
              <w:rPr>
                <w:rFonts w:ascii="宋体" w:hAnsi="宋体"/>
                <w:sz w:val="18"/>
                <w:szCs w:val="18"/>
              </w:rPr>
              <w:t>1次/天</w:t>
            </w:r>
          </w:p>
        </w:tc>
      </w:tr>
      <w:tr w:rsidR="008733C7" w:rsidTr="008733C7">
        <w:trPr>
          <w:trHeight w:val="284"/>
          <w:jc w:val="center"/>
        </w:trPr>
        <w:tc>
          <w:tcPr>
            <w:tcW w:w="708" w:type="pct"/>
            <w:vMerge/>
            <w:tcBorders>
              <w:left w:val="single" w:sz="8" w:space="0" w:color="auto"/>
              <w:right w:val="single" w:sz="4" w:space="0" w:color="auto"/>
            </w:tcBorders>
            <w:vAlign w:val="center"/>
          </w:tcPr>
          <w:p w:rsidR="008733C7" w:rsidRDefault="008733C7" w:rsidP="00066577">
            <w:pPr>
              <w:widowControl/>
              <w:autoSpaceDE w:val="0"/>
              <w:autoSpaceDN w:val="0"/>
              <w:spacing w:line="240" w:lineRule="exact"/>
              <w:jc w:val="center"/>
              <w:rPr>
                <w:sz w:val="18"/>
                <w:szCs w:val="18"/>
              </w:rPr>
            </w:pPr>
          </w:p>
        </w:tc>
        <w:tc>
          <w:tcPr>
            <w:tcW w:w="2820" w:type="pct"/>
            <w:tcBorders>
              <w:top w:val="single" w:sz="4" w:space="0" w:color="auto"/>
              <w:left w:val="single" w:sz="4" w:space="0" w:color="auto"/>
              <w:bottom w:val="single" w:sz="4" w:space="0" w:color="auto"/>
              <w:right w:val="single" w:sz="4" w:space="0" w:color="auto"/>
            </w:tcBorders>
            <w:noWrap/>
            <w:vAlign w:val="center"/>
          </w:tcPr>
          <w:p w:rsidR="008733C7" w:rsidRDefault="008733C7" w:rsidP="00066577">
            <w:pPr>
              <w:widowControl/>
              <w:autoSpaceDE w:val="0"/>
              <w:autoSpaceDN w:val="0"/>
              <w:spacing w:line="240" w:lineRule="exact"/>
              <w:jc w:val="center"/>
              <w:rPr>
                <w:rFonts w:ascii="宋体" w:hAnsi="宋体"/>
                <w:sz w:val="18"/>
                <w:szCs w:val="18"/>
              </w:rPr>
            </w:pPr>
            <w:r>
              <w:rPr>
                <w:rFonts w:ascii="宋体" w:hAnsi="宋体" w:hint="eastAsia"/>
                <w:sz w:val="18"/>
                <w:szCs w:val="18"/>
              </w:rPr>
              <w:t>如有支撑拆除作业，支撑结构拆除过程中及拆除完成后3日</w:t>
            </w:r>
          </w:p>
        </w:tc>
        <w:tc>
          <w:tcPr>
            <w:tcW w:w="1473" w:type="pct"/>
            <w:tcBorders>
              <w:top w:val="single" w:sz="4" w:space="0" w:color="auto"/>
              <w:left w:val="single" w:sz="4" w:space="0" w:color="auto"/>
              <w:bottom w:val="single" w:sz="4" w:space="0" w:color="auto"/>
              <w:right w:val="single" w:sz="8" w:space="0" w:color="auto"/>
            </w:tcBorders>
            <w:noWrap/>
            <w:vAlign w:val="center"/>
          </w:tcPr>
          <w:p w:rsidR="008733C7" w:rsidRDefault="008733C7" w:rsidP="00066577">
            <w:pPr>
              <w:widowControl/>
              <w:autoSpaceDE w:val="0"/>
              <w:autoSpaceDN w:val="0"/>
              <w:spacing w:line="240" w:lineRule="exact"/>
              <w:jc w:val="center"/>
              <w:rPr>
                <w:rFonts w:ascii="宋体" w:hAnsi="宋体"/>
                <w:sz w:val="18"/>
                <w:szCs w:val="18"/>
              </w:rPr>
            </w:pPr>
            <w:r>
              <w:rPr>
                <w:rFonts w:ascii="宋体" w:hAnsi="宋体" w:hint="eastAsia"/>
                <w:sz w:val="18"/>
                <w:szCs w:val="18"/>
              </w:rPr>
              <w:t>3次/天</w:t>
            </w:r>
          </w:p>
        </w:tc>
      </w:tr>
      <w:tr w:rsidR="008733C7" w:rsidTr="008733C7">
        <w:trPr>
          <w:trHeight w:val="284"/>
          <w:jc w:val="center"/>
        </w:trPr>
        <w:tc>
          <w:tcPr>
            <w:tcW w:w="708" w:type="pct"/>
            <w:vMerge/>
            <w:tcBorders>
              <w:left w:val="single" w:sz="8" w:space="0" w:color="auto"/>
              <w:right w:val="single" w:sz="4" w:space="0" w:color="auto"/>
            </w:tcBorders>
            <w:vAlign w:val="center"/>
          </w:tcPr>
          <w:p w:rsidR="008733C7" w:rsidRDefault="008733C7" w:rsidP="00066577">
            <w:pPr>
              <w:widowControl/>
              <w:autoSpaceDE w:val="0"/>
              <w:autoSpaceDN w:val="0"/>
              <w:spacing w:line="240" w:lineRule="exact"/>
              <w:jc w:val="center"/>
              <w:rPr>
                <w:sz w:val="18"/>
                <w:szCs w:val="18"/>
              </w:rPr>
            </w:pPr>
          </w:p>
        </w:tc>
        <w:tc>
          <w:tcPr>
            <w:tcW w:w="2820" w:type="pct"/>
            <w:tcBorders>
              <w:top w:val="single" w:sz="4" w:space="0" w:color="auto"/>
              <w:left w:val="single" w:sz="4" w:space="0" w:color="auto"/>
              <w:bottom w:val="single" w:sz="4" w:space="0" w:color="auto"/>
              <w:right w:val="single" w:sz="4" w:space="0" w:color="auto"/>
            </w:tcBorders>
            <w:noWrap/>
            <w:vAlign w:val="center"/>
          </w:tcPr>
          <w:p w:rsidR="008733C7" w:rsidRDefault="008733C7" w:rsidP="00066577">
            <w:pPr>
              <w:widowControl/>
              <w:autoSpaceDE w:val="0"/>
              <w:autoSpaceDN w:val="0"/>
              <w:spacing w:line="240" w:lineRule="exact"/>
              <w:jc w:val="center"/>
              <w:rPr>
                <w:rFonts w:ascii="宋体" w:hAnsi="宋体"/>
                <w:sz w:val="18"/>
                <w:szCs w:val="18"/>
              </w:rPr>
            </w:pPr>
            <w:r>
              <w:rPr>
                <w:rFonts w:ascii="宋体" w:hAnsi="宋体" w:hint="eastAsia"/>
                <w:sz w:val="18"/>
                <w:szCs w:val="18"/>
              </w:rPr>
              <w:t>建筑结构</w:t>
            </w:r>
            <w:r>
              <w:rPr>
                <w:rFonts w:ascii="宋体" w:hAnsi="宋体"/>
                <w:sz w:val="18"/>
                <w:szCs w:val="18"/>
              </w:rPr>
              <w:t>±0</w:t>
            </w:r>
            <w:r>
              <w:rPr>
                <w:rFonts w:ascii="宋体" w:hAnsi="宋体" w:hint="eastAsia"/>
                <w:sz w:val="18"/>
                <w:szCs w:val="18"/>
              </w:rPr>
              <w:t>高度～</w:t>
            </w:r>
            <w:r>
              <w:rPr>
                <w:rFonts w:ascii="宋体" w:hAnsi="宋体"/>
                <w:sz w:val="18"/>
                <w:szCs w:val="18"/>
              </w:rPr>
              <w:t>建筑物封顶</w:t>
            </w:r>
          </w:p>
        </w:tc>
        <w:tc>
          <w:tcPr>
            <w:tcW w:w="1473" w:type="pct"/>
            <w:tcBorders>
              <w:top w:val="single" w:sz="4" w:space="0" w:color="auto"/>
              <w:left w:val="single" w:sz="4" w:space="0" w:color="auto"/>
              <w:bottom w:val="single" w:sz="4" w:space="0" w:color="auto"/>
              <w:right w:val="single" w:sz="8" w:space="0" w:color="auto"/>
            </w:tcBorders>
            <w:noWrap/>
            <w:vAlign w:val="center"/>
          </w:tcPr>
          <w:p w:rsidR="008733C7" w:rsidRDefault="008733C7" w:rsidP="00066577">
            <w:pPr>
              <w:widowControl/>
              <w:autoSpaceDE w:val="0"/>
              <w:autoSpaceDN w:val="0"/>
              <w:spacing w:line="240" w:lineRule="exact"/>
              <w:jc w:val="center"/>
              <w:rPr>
                <w:rFonts w:ascii="宋体" w:hAnsi="宋体"/>
                <w:sz w:val="18"/>
                <w:szCs w:val="18"/>
              </w:rPr>
            </w:pPr>
            <w:r>
              <w:rPr>
                <w:rFonts w:ascii="宋体" w:hAnsi="宋体"/>
                <w:sz w:val="18"/>
                <w:szCs w:val="18"/>
              </w:rPr>
              <w:t>1次/</w:t>
            </w:r>
            <w:r>
              <w:rPr>
                <w:rFonts w:ascii="宋体" w:hAnsi="宋体" w:hint="eastAsia"/>
                <w:sz w:val="18"/>
                <w:szCs w:val="18"/>
              </w:rPr>
              <w:t>（</w:t>
            </w:r>
            <w:r>
              <w:rPr>
                <w:rFonts w:ascii="宋体" w:hAnsi="宋体"/>
                <w:sz w:val="18"/>
                <w:szCs w:val="18"/>
              </w:rPr>
              <w:t>7天</w:t>
            </w:r>
            <w:r>
              <w:rPr>
                <w:rFonts w:ascii="宋体" w:hAnsi="宋体" w:hint="eastAsia"/>
                <w:sz w:val="18"/>
                <w:szCs w:val="18"/>
              </w:rPr>
              <w:t>～</w:t>
            </w:r>
            <w:r>
              <w:rPr>
                <w:rFonts w:ascii="宋体" w:hAnsi="宋体"/>
                <w:sz w:val="18"/>
                <w:szCs w:val="18"/>
              </w:rPr>
              <w:t>10天</w:t>
            </w:r>
            <w:r>
              <w:rPr>
                <w:rFonts w:ascii="宋体" w:hAnsi="宋体" w:hint="eastAsia"/>
                <w:sz w:val="18"/>
                <w:szCs w:val="18"/>
              </w:rPr>
              <w:t>）</w:t>
            </w:r>
          </w:p>
        </w:tc>
      </w:tr>
      <w:tr w:rsidR="008733C7" w:rsidTr="008733C7">
        <w:trPr>
          <w:trHeight w:val="284"/>
          <w:jc w:val="center"/>
        </w:trPr>
        <w:tc>
          <w:tcPr>
            <w:tcW w:w="708" w:type="pct"/>
            <w:vMerge/>
            <w:tcBorders>
              <w:left w:val="single" w:sz="8" w:space="0" w:color="auto"/>
              <w:bottom w:val="single" w:sz="8" w:space="0" w:color="auto"/>
              <w:right w:val="single" w:sz="4" w:space="0" w:color="auto"/>
            </w:tcBorders>
            <w:vAlign w:val="center"/>
          </w:tcPr>
          <w:p w:rsidR="008733C7" w:rsidRDefault="008733C7" w:rsidP="00066577">
            <w:pPr>
              <w:widowControl/>
              <w:autoSpaceDE w:val="0"/>
              <w:autoSpaceDN w:val="0"/>
              <w:spacing w:line="240" w:lineRule="exact"/>
              <w:jc w:val="center"/>
              <w:rPr>
                <w:sz w:val="18"/>
                <w:szCs w:val="18"/>
              </w:rPr>
            </w:pPr>
          </w:p>
        </w:tc>
        <w:tc>
          <w:tcPr>
            <w:tcW w:w="2820" w:type="pct"/>
            <w:tcBorders>
              <w:top w:val="single" w:sz="4" w:space="0" w:color="auto"/>
              <w:left w:val="single" w:sz="4" w:space="0" w:color="auto"/>
              <w:bottom w:val="single" w:sz="8" w:space="0" w:color="auto"/>
              <w:right w:val="single" w:sz="4" w:space="0" w:color="auto"/>
            </w:tcBorders>
            <w:noWrap/>
            <w:vAlign w:val="center"/>
          </w:tcPr>
          <w:p w:rsidR="008733C7" w:rsidRDefault="008733C7" w:rsidP="00066577">
            <w:pPr>
              <w:widowControl/>
              <w:autoSpaceDE w:val="0"/>
              <w:autoSpaceDN w:val="0"/>
              <w:spacing w:line="240" w:lineRule="exact"/>
              <w:jc w:val="center"/>
              <w:rPr>
                <w:rFonts w:ascii="宋体" w:hAnsi="宋体"/>
                <w:sz w:val="18"/>
                <w:szCs w:val="18"/>
              </w:rPr>
            </w:pPr>
            <w:r>
              <w:rPr>
                <w:rFonts w:ascii="宋体" w:hAnsi="宋体"/>
                <w:sz w:val="18"/>
                <w:szCs w:val="18"/>
              </w:rPr>
              <w:t>滞后观测期（3个月</w:t>
            </w:r>
            <w:r>
              <w:rPr>
                <w:rFonts w:ascii="宋体" w:hAnsi="宋体" w:hint="eastAsia"/>
                <w:sz w:val="18"/>
                <w:szCs w:val="18"/>
              </w:rPr>
              <w:t>～</w:t>
            </w:r>
            <w:r>
              <w:rPr>
                <w:rFonts w:ascii="宋体" w:hAnsi="宋体"/>
                <w:sz w:val="18"/>
                <w:szCs w:val="18"/>
              </w:rPr>
              <w:t>6个月）</w:t>
            </w:r>
          </w:p>
        </w:tc>
        <w:tc>
          <w:tcPr>
            <w:tcW w:w="1473" w:type="pct"/>
            <w:tcBorders>
              <w:top w:val="single" w:sz="4" w:space="0" w:color="auto"/>
              <w:left w:val="single" w:sz="4" w:space="0" w:color="auto"/>
              <w:bottom w:val="single" w:sz="8" w:space="0" w:color="auto"/>
              <w:right w:val="single" w:sz="8" w:space="0" w:color="auto"/>
            </w:tcBorders>
            <w:noWrap/>
            <w:vAlign w:val="center"/>
          </w:tcPr>
          <w:p w:rsidR="008733C7" w:rsidRDefault="008733C7" w:rsidP="00066577">
            <w:pPr>
              <w:widowControl/>
              <w:autoSpaceDE w:val="0"/>
              <w:autoSpaceDN w:val="0"/>
              <w:spacing w:line="240" w:lineRule="exact"/>
              <w:jc w:val="center"/>
              <w:rPr>
                <w:rFonts w:ascii="宋体" w:hAnsi="宋体"/>
                <w:sz w:val="18"/>
                <w:szCs w:val="18"/>
              </w:rPr>
            </w:pPr>
            <w:r>
              <w:rPr>
                <w:rFonts w:ascii="宋体" w:hAnsi="宋体"/>
                <w:sz w:val="18"/>
                <w:szCs w:val="18"/>
              </w:rPr>
              <w:t>1次/15天</w:t>
            </w:r>
          </w:p>
        </w:tc>
      </w:tr>
    </w:tbl>
    <w:p w:rsidR="008733C7" w:rsidRDefault="008733C7" w:rsidP="008733C7">
      <w:pPr>
        <w:overflowPunct w:val="0"/>
        <w:adjustRightInd w:val="0"/>
        <w:snapToGrid w:val="0"/>
        <w:spacing w:line="580" w:lineRule="exact"/>
        <w:ind w:firstLineChars="200" w:firstLine="640"/>
        <w:rPr>
          <w:rFonts w:ascii="黑体" w:eastAsia="黑体" w:hAnsi="黑体" w:cstheme="minorBidi"/>
          <w:sz w:val="32"/>
          <w:szCs w:val="32"/>
        </w:rPr>
      </w:pPr>
      <w:r>
        <w:rPr>
          <w:rFonts w:ascii="黑体" w:eastAsia="黑体" w:hAnsi="黑体" w:cstheme="minorBidi" w:hint="eastAsia"/>
          <w:sz w:val="32"/>
          <w:szCs w:val="32"/>
        </w:rPr>
        <w:t>二、第三方监测报告要求</w:t>
      </w:r>
    </w:p>
    <w:p w:rsidR="008733C7" w:rsidRDefault="008733C7" w:rsidP="008733C7">
      <w:pPr>
        <w:overflowPunct w:val="0"/>
        <w:adjustRightInd w:val="0"/>
        <w:snapToGrid w:val="0"/>
        <w:spacing w:line="58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1.监测报告分为日报、周报，施工完成且监测数据稳定后提交监测总结报告。</w:t>
      </w:r>
    </w:p>
    <w:p w:rsidR="008733C7" w:rsidRDefault="008733C7" w:rsidP="008733C7">
      <w:pPr>
        <w:overflowPunct w:val="0"/>
        <w:adjustRightInd w:val="0"/>
        <w:snapToGrid w:val="0"/>
        <w:spacing w:line="58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2.第三方监测日报、周报及总报告应评价施工对有轨电车运营设备设施的影响。</w:t>
      </w:r>
    </w:p>
    <w:p w:rsidR="008733C7" w:rsidRDefault="008733C7" w:rsidP="008733C7">
      <w:pPr>
        <w:overflowPunct w:val="0"/>
        <w:adjustRightInd w:val="0"/>
        <w:snapToGrid w:val="0"/>
        <w:spacing w:line="58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3.由第三方监测单位建立监测数据共享机制，定期将监测报告递交有轨电车运营综合行政执法大队。</w:t>
      </w:r>
    </w:p>
    <w:p w:rsidR="008733C7" w:rsidRDefault="008733C7" w:rsidP="008733C7">
      <w:pPr>
        <w:overflowPunct w:val="0"/>
        <w:adjustRightInd w:val="0"/>
        <w:snapToGrid w:val="0"/>
        <w:spacing w:line="580" w:lineRule="exact"/>
        <w:ind w:firstLineChars="200" w:firstLine="640"/>
        <w:rPr>
          <w:rFonts w:ascii="黑体" w:eastAsia="黑体" w:hAnsi="黑体" w:cstheme="minorBidi"/>
          <w:sz w:val="32"/>
          <w:szCs w:val="32"/>
        </w:rPr>
      </w:pPr>
      <w:r>
        <w:rPr>
          <w:rFonts w:ascii="黑体" w:eastAsia="黑体" w:hAnsi="黑体" w:cstheme="minorBidi" w:hint="eastAsia"/>
          <w:sz w:val="32"/>
          <w:szCs w:val="32"/>
        </w:rPr>
        <w:t>三、第三方监测数据异常处理要求</w:t>
      </w:r>
    </w:p>
    <w:p w:rsidR="008733C7" w:rsidRDefault="008733C7" w:rsidP="008733C7">
      <w:pPr>
        <w:overflowPunct w:val="0"/>
        <w:adjustRightInd w:val="0"/>
        <w:snapToGrid w:val="0"/>
        <w:spacing w:line="58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1.第三方监测数据达到预警值时的处理要求</w:t>
      </w:r>
    </w:p>
    <w:p w:rsidR="008733C7" w:rsidRDefault="008733C7" w:rsidP="008733C7">
      <w:pPr>
        <w:overflowPunct w:val="0"/>
        <w:adjustRightInd w:val="0"/>
        <w:snapToGrid w:val="0"/>
        <w:spacing w:line="58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当第三方监测数据达到预警值时，应采取加密监测点或提高监测频率等措施加强有轨电车交通结构的监测，并通知</w:t>
      </w:r>
      <w:r>
        <w:rPr>
          <w:rFonts w:ascii="仿宋_GB2312" w:eastAsia="仿宋_GB2312" w:hAnsiTheme="minorHAnsi" w:cstheme="minorBidi" w:hint="eastAsia"/>
          <w:sz w:val="32"/>
          <w:szCs w:val="32"/>
        </w:rPr>
        <w:lastRenderedPageBreak/>
        <w:t>有关单位召开监测数据分析会，查找和分析数据异常的原因，并采取相应保护措施。</w:t>
      </w:r>
    </w:p>
    <w:p w:rsidR="008733C7" w:rsidRDefault="008733C7" w:rsidP="008733C7">
      <w:pPr>
        <w:overflowPunct w:val="0"/>
        <w:adjustRightInd w:val="0"/>
        <w:snapToGrid w:val="0"/>
        <w:spacing w:line="58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2.第三方监测数据达到报警值时的处理要求</w:t>
      </w:r>
    </w:p>
    <w:p w:rsidR="008733C7" w:rsidRDefault="008733C7" w:rsidP="008733C7">
      <w:pPr>
        <w:overflowPunct w:val="0"/>
        <w:adjustRightInd w:val="0"/>
        <w:snapToGrid w:val="0"/>
        <w:spacing w:line="580" w:lineRule="exact"/>
        <w:ind w:firstLineChars="200" w:firstLine="640"/>
        <w:rPr>
          <w:rFonts w:ascii="黑体" w:eastAsia="黑体" w:hAnsi="黑体" w:cstheme="minorBidi"/>
          <w:sz w:val="32"/>
          <w:szCs w:val="32"/>
        </w:rPr>
      </w:pPr>
      <w:r>
        <w:rPr>
          <w:rFonts w:ascii="仿宋_GB2312" w:eastAsia="仿宋_GB2312" w:hAnsiTheme="minorHAnsi" w:cstheme="minorBidi" w:hint="eastAsia"/>
          <w:sz w:val="32"/>
          <w:szCs w:val="32"/>
        </w:rPr>
        <w:t>当第三方监测数据达到报警值时，应立即通知施工单位暂停作业，并由建设单位及时组织相关方开展现状调查、复测，结合监测数据通过结构验算等手段，评估有轨电车结构的当前安全状态，提出相应的处理意见和建议，共同制定相应安全保护措施，并组织进行专家论证审查通过后，方可继续进行后续作业。</w:t>
      </w:r>
      <w:bookmarkStart w:id="0" w:name="_GoBack"/>
      <w:bookmarkEnd w:id="0"/>
    </w:p>
    <w:p w:rsidR="000330FC" w:rsidRPr="008733C7" w:rsidRDefault="000330FC"/>
    <w:sectPr w:rsidR="000330FC" w:rsidRPr="008733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0FC" w:rsidRDefault="000330FC" w:rsidP="008733C7">
      <w:r>
        <w:separator/>
      </w:r>
    </w:p>
  </w:endnote>
  <w:endnote w:type="continuationSeparator" w:id="1">
    <w:p w:rsidR="000330FC" w:rsidRDefault="000330FC" w:rsidP="008733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0FC" w:rsidRDefault="000330FC" w:rsidP="008733C7">
      <w:r>
        <w:separator/>
      </w:r>
    </w:p>
  </w:footnote>
  <w:footnote w:type="continuationSeparator" w:id="1">
    <w:p w:rsidR="000330FC" w:rsidRDefault="000330FC" w:rsidP="008733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33C7"/>
    <w:rsid w:val="000330FC"/>
    <w:rsid w:val="008733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3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33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733C7"/>
    <w:rPr>
      <w:sz w:val="18"/>
      <w:szCs w:val="18"/>
    </w:rPr>
  </w:style>
  <w:style w:type="paragraph" w:styleId="a4">
    <w:name w:val="footer"/>
    <w:basedOn w:val="a"/>
    <w:link w:val="Char0"/>
    <w:uiPriority w:val="99"/>
    <w:semiHidden/>
    <w:unhideWhenUsed/>
    <w:rsid w:val="008733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733C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Words>
  <Characters>665</Characters>
  <Application>Microsoft Office Word</Application>
  <DocSecurity>0</DocSecurity>
  <Lines>5</Lines>
  <Paragraphs>1</Paragraphs>
  <ScaleCrop>false</ScaleCrop>
  <Company>Lenovo</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2025-04-22T08:10:00Z</dcterms:created>
  <dcterms:modified xsi:type="dcterms:W3CDTF">2025-04-22T08:13:00Z</dcterms:modified>
</cp:coreProperties>
</file>